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E4" w:rsidRPr="000E03E4" w:rsidRDefault="000E03E4" w:rsidP="000E03E4">
      <w:pPr>
        <w:jc w:val="center"/>
        <w:rPr>
          <w:rFonts w:ascii="Bookman Old Style" w:hAnsi="Bookman Old Style" w:cs="Tunga"/>
          <w:b/>
          <w:sz w:val="32"/>
          <w:szCs w:val="32"/>
        </w:rPr>
      </w:pPr>
      <w:bookmarkStart w:id="0" w:name="_GoBack"/>
      <w:bookmarkEnd w:id="0"/>
      <w:r w:rsidRPr="000E03E4">
        <w:rPr>
          <w:rFonts w:ascii="Bookman Old Style" w:hAnsi="Bookman Old Style" w:cs="Tunga"/>
          <w:b/>
          <w:sz w:val="32"/>
          <w:szCs w:val="32"/>
        </w:rPr>
        <w:t>Tribunus Jogsegélyszolgálat Közhasznú Egyesület</w:t>
      </w:r>
    </w:p>
    <w:p w:rsidR="000E03E4" w:rsidRPr="000E03E4" w:rsidRDefault="000E03E4" w:rsidP="000E03E4">
      <w:pPr>
        <w:jc w:val="center"/>
        <w:rPr>
          <w:rFonts w:ascii="Bookman Old Style" w:hAnsi="Bookman Old Style" w:cs="Tunga"/>
          <w:b/>
          <w:sz w:val="32"/>
          <w:szCs w:val="32"/>
        </w:rPr>
      </w:pPr>
    </w:p>
    <w:p w:rsidR="000E03E4" w:rsidRPr="000E03E4" w:rsidRDefault="000E03E4" w:rsidP="000E03E4">
      <w:pPr>
        <w:jc w:val="center"/>
        <w:rPr>
          <w:rFonts w:ascii="Bookman Old Style" w:hAnsi="Bookman Old Style" w:cs="Tunga"/>
          <w:b/>
          <w:sz w:val="32"/>
          <w:szCs w:val="32"/>
        </w:rPr>
      </w:pPr>
      <w:r w:rsidRPr="000E03E4">
        <w:rPr>
          <w:rFonts w:ascii="Bookman Old Style" w:hAnsi="Bookman Old Style" w:cs="Tunga"/>
          <w:b/>
          <w:sz w:val="32"/>
          <w:szCs w:val="32"/>
        </w:rPr>
        <w:t>Hírlevele</w:t>
      </w:r>
    </w:p>
    <w:p w:rsidR="000E03E4" w:rsidRPr="000E03E4" w:rsidRDefault="000E03E4" w:rsidP="000E03E4">
      <w:pPr>
        <w:jc w:val="center"/>
        <w:rPr>
          <w:rFonts w:ascii="Bookman Old Style" w:hAnsi="Bookman Old Style" w:cs="Tunga"/>
          <w:b/>
          <w:sz w:val="32"/>
          <w:szCs w:val="32"/>
        </w:rPr>
      </w:pPr>
    </w:p>
    <w:p w:rsidR="000E03E4" w:rsidRPr="000E03E4" w:rsidRDefault="000E03E4" w:rsidP="000E03E4">
      <w:pPr>
        <w:jc w:val="center"/>
        <w:rPr>
          <w:rFonts w:ascii="Bookman Old Style" w:hAnsi="Bookman Old Style" w:cs="Tunga"/>
          <w:b/>
          <w:sz w:val="32"/>
          <w:szCs w:val="32"/>
        </w:rPr>
      </w:pPr>
      <w:r w:rsidRPr="000E03E4">
        <w:rPr>
          <w:rFonts w:ascii="Bookman Old Style" w:hAnsi="Bookman Old Style" w:cs="Tunga"/>
          <w:b/>
          <w:sz w:val="32"/>
          <w:szCs w:val="32"/>
        </w:rPr>
        <w:t xml:space="preserve">2009. </w:t>
      </w:r>
      <w:r w:rsidR="008158BC">
        <w:rPr>
          <w:rFonts w:ascii="Bookman Old Style" w:hAnsi="Bookman Old Style" w:cs="Tunga"/>
          <w:b/>
          <w:sz w:val="32"/>
          <w:szCs w:val="32"/>
        </w:rPr>
        <w:t>november</w:t>
      </w:r>
    </w:p>
    <w:p w:rsidR="000E03E4" w:rsidRPr="000E03E4" w:rsidRDefault="000E03E4" w:rsidP="000E03E4">
      <w:pPr>
        <w:rPr>
          <w:rFonts w:ascii="Bookman Old Style" w:hAnsi="Bookman Old Style" w:cs="Tunga"/>
        </w:rPr>
      </w:pPr>
    </w:p>
    <w:p w:rsidR="000E03E4" w:rsidRPr="000E03E4" w:rsidRDefault="000E03E4" w:rsidP="000E03E4">
      <w:pPr>
        <w:jc w:val="center"/>
        <w:rPr>
          <w:rFonts w:ascii="Bookman Old Style" w:hAnsi="Bookman Old Style" w:cs="Tunga"/>
        </w:rPr>
      </w:pPr>
    </w:p>
    <w:p w:rsidR="000E03E4" w:rsidRPr="000E03E4" w:rsidRDefault="00383DE5" w:rsidP="000E03E4">
      <w:pPr>
        <w:jc w:val="both"/>
        <w:rPr>
          <w:rFonts w:ascii="Bookman Old Style" w:hAnsi="Bookman Old Style" w:cs="Tunga"/>
          <w:b/>
        </w:rPr>
      </w:pPr>
      <w:r>
        <w:rPr>
          <w:rFonts w:ascii="Bookman Old Style" w:hAnsi="Bookman Old Style" w:cs="Tunga"/>
          <w:b/>
        </w:rPr>
        <w:t xml:space="preserve">Kiemelt híreink </w:t>
      </w:r>
      <w:r w:rsidR="004A1B19">
        <w:rPr>
          <w:rFonts w:ascii="Bookman Old Style" w:hAnsi="Bookman Old Style" w:cs="Tunga"/>
          <w:b/>
        </w:rPr>
        <w:t xml:space="preserve">az EGT és a Norvég Finanszírozási Mechanizmus, valamint a Fővárosi Szociális Közalapítvány támogatásával </w:t>
      </w:r>
      <w:r>
        <w:rPr>
          <w:rFonts w:ascii="Bookman Old Style" w:hAnsi="Bookman Old Style" w:cs="Tunga"/>
          <w:b/>
        </w:rPr>
        <w:t xml:space="preserve">finanszírozási mechanizmusban elnyert, </w:t>
      </w:r>
      <w:r w:rsidR="000E03E4" w:rsidRPr="000E03E4">
        <w:rPr>
          <w:rFonts w:ascii="Bookman Old Style" w:hAnsi="Bookman Old Style" w:cs="Tunga"/>
          <w:b/>
        </w:rPr>
        <w:t xml:space="preserve"> </w:t>
      </w:r>
      <w:r>
        <w:rPr>
          <w:rFonts w:ascii="Bookman Old Style" w:hAnsi="Bookman Old Style" w:cs="Tunga"/>
          <w:b/>
        </w:rPr>
        <w:t>„</w:t>
      </w:r>
      <w:r w:rsidR="000E03E4" w:rsidRPr="000E03E4">
        <w:rPr>
          <w:rFonts w:ascii="Bookman Old Style" w:hAnsi="Bookman Old Style" w:cs="Tunga"/>
          <w:b/>
        </w:rPr>
        <w:t>Szülés után, munka nélkül</w:t>
      </w:r>
      <w:r>
        <w:rPr>
          <w:rFonts w:ascii="Bookman Old Style" w:hAnsi="Bookman Old Style" w:cs="Tunga"/>
          <w:b/>
        </w:rPr>
        <w:t>”</w:t>
      </w:r>
      <w:r w:rsidR="000E03E4" w:rsidRPr="000E03E4">
        <w:rPr>
          <w:rFonts w:ascii="Bookman Old Style" w:hAnsi="Bookman Old Style" w:cs="Tunga"/>
          <w:b/>
        </w:rPr>
        <w:t xml:space="preserve"> c. </w:t>
      </w:r>
      <w:r>
        <w:rPr>
          <w:rFonts w:ascii="Bookman Old Style" w:hAnsi="Bookman Old Style" w:cs="Tunga"/>
          <w:b/>
        </w:rPr>
        <w:t>pályázati projekt keretében jelennek meg.</w:t>
      </w:r>
    </w:p>
    <w:p w:rsidR="000E03E4" w:rsidRPr="000E03E4" w:rsidRDefault="000E03E4" w:rsidP="000E03E4">
      <w:pPr>
        <w:jc w:val="both"/>
        <w:rPr>
          <w:rFonts w:ascii="Bookman Old Style" w:hAnsi="Bookman Old Style" w:cs="Tunga"/>
          <w:b/>
        </w:rPr>
      </w:pPr>
    </w:p>
    <w:p w:rsidR="000E03E4" w:rsidRPr="000E03E4" w:rsidRDefault="000842F8" w:rsidP="000E03E4">
      <w:pPr>
        <w:jc w:val="both"/>
        <w:rPr>
          <w:rFonts w:ascii="Bookman Old Style" w:hAnsi="Bookman Old Style" w:cs="Tunga"/>
        </w:rPr>
      </w:pPr>
      <w:r w:rsidRPr="000E03E4">
        <w:rPr>
          <w:rFonts w:ascii="Bookman Old Style" w:hAnsi="Bookman Old Style" w:cs="Tunga"/>
        </w:rPr>
        <w:object w:dxaOrig="9151"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51.6pt" o:ole="">
            <v:imagedata r:id="rId6" o:title=""/>
          </v:shape>
          <o:OLEObject Type="Embed" ProgID="MSPhotoEd.3" ShapeID="_x0000_i1025" DrawAspect="Content" ObjectID="_1647946361" r:id="rId7"/>
        </w:object>
      </w:r>
      <w:r w:rsidRPr="000842F8">
        <w:t xml:space="preserve"> </w:t>
      </w:r>
      <w:r>
        <w:object w:dxaOrig="7186" w:dyaOrig="3045">
          <v:shape id="_x0000_i1026" type="#_x0000_t75" style="width:359.4pt;height:61.8pt" o:ole="">
            <v:imagedata r:id="rId8" o:title=""/>
          </v:shape>
          <o:OLEObject Type="Embed" ProgID="MSPhotoEd.3" ShapeID="_x0000_i1026" DrawAspect="Content" ObjectID="_1647946362" r:id="rId9"/>
        </w:object>
      </w:r>
    </w:p>
    <w:p w:rsidR="00383DE5" w:rsidRDefault="00383DE5" w:rsidP="000E03E4">
      <w:pPr>
        <w:jc w:val="both"/>
        <w:rPr>
          <w:rFonts w:ascii="Bookman Old Style" w:hAnsi="Bookman Old Style" w:cs="Tunga"/>
        </w:rPr>
      </w:pPr>
    </w:p>
    <w:p w:rsidR="000E03E4" w:rsidRPr="00383DE5" w:rsidRDefault="00383DE5" w:rsidP="000E03E4">
      <w:pPr>
        <w:jc w:val="both"/>
        <w:rPr>
          <w:rFonts w:ascii="Bookman Old Style" w:hAnsi="Bookman Old Style" w:cs="Tunga"/>
          <w:b/>
        </w:rPr>
      </w:pPr>
      <w:r w:rsidRPr="00383DE5">
        <w:rPr>
          <w:rFonts w:ascii="Bookman Old Style" w:hAnsi="Bookman Old Style" w:cs="Tunga"/>
          <w:b/>
        </w:rPr>
        <w:t>1. Elérhetőségeink</w:t>
      </w:r>
    </w:p>
    <w:p w:rsidR="000E03E4" w:rsidRPr="000E03E4" w:rsidRDefault="000E03E4" w:rsidP="000E03E4">
      <w:pPr>
        <w:jc w:val="both"/>
        <w:rPr>
          <w:rFonts w:ascii="Bookman Old Style" w:hAnsi="Bookman Old Style" w:cs="Tunga"/>
        </w:rPr>
      </w:pPr>
    </w:p>
    <w:p w:rsidR="000E03E4" w:rsidRDefault="000E03E4" w:rsidP="000E03E4">
      <w:pPr>
        <w:jc w:val="both"/>
        <w:rPr>
          <w:rFonts w:ascii="Bookman Old Style" w:hAnsi="Bookman Old Style" w:cs="Tunga"/>
        </w:rPr>
      </w:pPr>
      <w:hyperlink r:id="rId10" w:history="1">
        <w:r w:rsidRPr="000E03E4">
          <w:rPr>
            <w:rStyle w:val="Hiperhivatkozs"/>
            <w:rFonts w:ascii="Bookman Old Style" w:hAnsi="Bookman Old Style" w:cs="Tunga"/>
          </w:rPr>
          <w:t>www.tribunus.hu</w:t>
        </w:r>
      </w:hyperlink>
      <w:r w:rsidRPr="000E03E4">
        <w:rPr>
          <w:rFonts w:ascii="Bookman Old Style" w:hAnsi="Bookman Old Style" w:cs="Tunga"/>
        </w:rPr>
        <w:t xml:space="preserve">, 20/321-75-93, </w:t>
      </w:r>
      <w:hyperlink r:id="rId11" w:history="1">
        <w:r w:rsidRPr="000E03E4">
          <w:rPr>
            <w:rStyle w:val="Hiperhivatkozs"/>
            <w:rFonts w:ascii="Bookman Old Style" w:hAnsi="Bookman Old Style" w:cs="Tunga"/>
          </w:rPr>
          <w:t>tribunus@tribunus.hu</w:t>
        </w:r>
      </w:hyperlink>
      <w:r w:rsidRPr="000E03E4">
        <w:rPr>
          <w:rFonts w:ascii="Bookman Old Style" w:hAnsi="Bookman Old Style" w:cs="Tunga"/>
        </w:rPr>
        <w:t>, 1123 Budapest, Kékgolyó u. 6. (kedd, csütörtök 16h-19h között)</w:t>
      </w:r>
    </w:p>
    <w:p w:rsidR="00383DE5" w:rsidRDefault="00383DE5" w:rsidP="00383DE5">
      <w:pPr>
        <w:jc w:val="both"/>
        <w:rPr>
          <w:rFonts w:ascii="Bookman Old Style" w:hAnsi="Bookman Old Style" w:cs="Tunga"/>
        </w:rPr>
      </w:pPr>
      <w:r w:rsidRPr="000E03E4">
        <w:rPr>
          <w:rFonts w:ascii="Bookman Old Style" w:hAnsi="Bookman Old Style" w:cs="Tunga"/>
        </w:rPr>
        <w:t>Forduljanak hozzánk bizalommal!</w:t>
      </w:r>
    </w:p>
    <w:p w:rsidR="00E45D74" w:rsidRPr="000E03E4" w:rsidRDefault="00E45D74" w:rsidP="00383DE5">
      <w:pPr>
        <w:jc w:val="both"/>
        <w:rPr>
          <w:rFonts w:ascii="Bookman Old Style" w:hAnsi="Bookman Old Style" w:cs="Tunga"/>
        </w:rPr>
      </w:pPr>
    </w:p>
    <w:p w:rsidR="00383DE5" w:rsidRPr="000E03E4" w:rsidRDefault="005526DE" w:rsidP="000E03E4">
      <w:pPr>
        <w:jc w:val="both"/>
        <w:rPr>
          <w:rFonts w:ascii="Bookman Old Style" w:hAnsi="Bookman Old Style" w:cs="Tunga"/>
        </w:rPr>
      </w:pPr>
      <w:r>
        <w:rPr>
          <w:noProof/>
        </w:rPr>
        <w:drawing>
          <wp:inline distT="0" distB="0" distL="0" distR="0">
            <wp:extent cx="1828800" cy="78486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84860"/>
                    </a:xfrm>
                    <a:prstGeom prst="rect">
                      <a:avLst/>
                    </a:prstGeom>
                    <a:noFill/>
                    <a:ln>
                      <a:noFill/>
                    </a:ln>
                  </pic:spPr>
                </pic:pic>
              </a:graphicData>
            </a:graphic>
          </wp:inline>
        </w:drawing>
      </w:r>
    </w:p>
    <w:p w:rsidR="000E03E4" w:rsidRDefault="000E03E4" w:rsidP="000E03E4">
      <w:pPr>
        <w:jc w:val="both"/>
        <w:rPr>
          <w:rFonts w:ascii="Bookman Old Style" w:hAnsi="Bookman Old Style" w:cs="Tunga"/>
        </w:rPr>
      </w:pPr>
    </w:p>
    <w:p w:rsidR="00FB7DE8" w:rsidRPr="000E03E4" w:rsidRDefault="00FB7DE8" w:rsidP="000E03E4">
      <w:pPr>
        <w:jc w:val="both"/>
        <w:rPr>
          <w:rFonts w:ascii="Bookman Old Style" w:hAnsi="Bookman Old Style" w:cs="Tunga"/>
        </w:rPr>
      </w:pPr>
    </w:p>
    <w:p w:rsidR="00FB7DE8" w:rsidRDefault="00966850" w:rsidP="00966850">
      <w:pPr>
        <w:jc w:val="both"/>
        <w:rPr>
          <w:rFonts w:ascii="Bookman Old Style" w:hAnsi="Bookman Old Style" w:cs="Tunga"/>
          <w:b/>
        </w:rPr>
      </w:pPr>
      <w:r w:rsidRPr="00966850">
        <w:rPr>
          <w:rFonts w:ascii="Bookman Old Style" w:hAnsi="Bookman Old Style" w:cs="Tunga"/>
          <w:b/>
        </w:rPr>
        <w:t>2. Az egészségbiztosítás szolgáltatásaira jogosultak – külföldiek ellátásra jogosultsága</w:t>
      </w:r>
    </w:p>
    <w:p w:rsidR="00FB7DE8" w:rsidRPr="00966850" w:rsidRDefault="00FB7DE8" w:rsidP="00966850">
      <w:pPr>
        <w:jc w:val="both"/>
        <w:rPr>
          <w:rFonts w:ascii="Bookman Old Style" w:hAnsi="Bookman Old Style" w:cs="Tunga"/>
          <w:b/>
        </w:rPr>
      </w:pPr>
    </w:p>
    <w:p w:rsidR="00966850" w:rsidRPr="00966850" w:rsidRDefault="00966850" w:rsidP="00966850">
      <w:pPr>
        <w:jc w:val="both"/>
        <w:rPr>
          <w:rFonts w:ascii="Bookman Old Style" w:hAnsi="Bookman Old Style" w:cs="Tunga"/>
        </w:rPr>
      </w:pPr>
      <w:r w:rsidRPr="00966850">
        <w:rPr>
          <w:rFonts w:ascii="Bookman Old Style" w:hAnsi="Bookman Old Style" w:cs="Tunga"/>
        </w:rPr>
        <w:t>Külföldi állampolgárok ideiglenesen, illetve állandó jelleggel, életvitelszerűen tartózkodhatnak Magyarországon. Ez utóbbi esetben a külföldi állampolgár lakóhelyét Magyarországra helyezte át munkavállalási célból, nyugdíjasként, tanulási célból, esetleg menekült, menedékes vagy befogadott jogcímen.</w:t>
      </w:r>
    </w:p>
    <w:p w:rsidR="00966850" w:rsidRPr="00966850" w:rsidRDefault="00966850" w:rsidP="00966850">
      <w:pPr>
        <w:jc w:val="both"/>
        <w:rPr>
          <w:rFonts w:ascii="Bookman Old Style" w:hAnsi="Bookman Old Style" w:cs="Tunga"/>
        </w:rPr>
      </w:pPr>
      <w:r w:rsidRPr="00966850">
        <w:rPr>
          <w:rFonts w:ascii="Bookman Old Style" w:hAnsi="Bookman Old Style" w:cs="Tunga"/>
        </w:rPr>
        <w:t>Társadalombiztosítási szempontból a külföldiek köre nem kizárólag a külföldi állampolgárságot jelenti, hanem külföldinek minősül mindenki, akit nem kell belföldinek tekinteni, tehát a magyar állampolgár is, ha nem rendelkezik állandó magyarországi lakóhellyel. Az egészségügyi ellátásokra egyes jogviszonyok esetén csak a társadalombiztosítási szempontból belföldinek minősülő személyek jogosultak, erre részletesen lásd a kizárólag egészségügyi ellátásra jogosultak című tájékoztatót.</w:t>
      </w:r>
    </w:p>
    <w:p w:rsidR="00966850" w:rsidRPr="00966850" w:rsidRDefault="00966850" w:rsidP="00966850">
      <w:pPr>
        <w:jc w:val="both"/>
        <w:rPr>
          <w:rFonts w:ascii="Bookman Old Style" w:hAnsi="Bookman Old Style" w:cs="Tunga"/>
        </w:rPr>
      </w:pPr>
      <w:r w:rsidRPr="00966850">
        <w:rPr>
          <w:rFonts w:ascii="Bookman Old Style" w:hAnsi="Bookman Old Style" w:cs="Tunga"/>
        </w:rPr>
        <w:t>Az egészségbiztosítás szempontjából a külföldi személyek egyes csoportjaiként eltér az egészségügyi ellátásra való jogosultság.</w:t>
      </w:r>
    </w:p>
    <w:p w:rsidR="00966850" w:rsidRDefault="00966850" w:rsidP="00966850">
      <w:pPr>
        <w:jc w:val="both"/>
        <w:rPr>
          <w:rFonts w:ascii="Bookman Old Style" w:hAnsi="Bookman Old Style" w:cs="Tunga"/>
        </w:rPr>
      </w:pPr>
      <w:r w:rsidRPr="00966850">
        <w:rPr>
          <w:rFonts w:ascii="Bookman Old Style" w:hAnsi="Bookman Old Style" w:cs="Tunga"/>
        </w:rPr>
        <w:lastRenderedPageBreak/>
        <w:t>A magyar egészségbiztosítás ellátásaira való jogosultságot a biztosítottnak minősülő külföldiek az „Igazolás az egészségügyi szolgáltatásra való jogosultságról” elnevezésű nyomtatvánnyal, illetve egyéb esetben pedig az egyezményekben meghatározott módon (pl. útlevéllel) igazolhatják az arra jogosult külföldiek.</w:t>
      </w:r>
    </w:p>
    <w:p w:rsidR="00966850" w:rsidRDefault="00966850" w:rsidP="00966850">
      <w:pPr>
        <w:jc w:val="both"/>
        <w:rPr>
          <w:rFonts w:ascii="Bookman Old Style" w:hAnsi="Bookman Old Style" w:cs="Tunga"/>
        </w:rPr>
      </w:pPr>
    </w:p>
    <w:p w:rsidR="00FB7DE8" w:rsidRDefault="005526DE" w:rsidP="00966850">
      <w:pPr>
        <w:jc w:val="both"/>
      </w:pPr>
      <w:r>
        <w:rPr>
          <w:noProof/>
        </w:rPr>
        <w:drawing>
          <wp:inline distT="0" distB="0" distL="0" distR="0">
            <wp:extent cx="3208020" cy="178308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020" cy="1783080"/>
                    </a:xfrm>
                    <a:prstGeom prst="rect">
                      <a:avLst/>
                    </a:prstGeom>
                    <a:noFill/>
                    <a:ln>
                      <a:noFill/>
                    </a:ln>
                  </pic:spPr>
                </pic:pic>
              </a:graphicData>
            </a:graphic>
          </wp:inline>
        </w:drawing>
      </w:r>
    </w:p>
    <w:p w:rsidR="008158BC" w:rsidRPr="00966850" w:rsidRDefault="008158BC" w:rsidP="00966850">
      <w:pPr>
        <w:jc w:val="both"/>
        <w:rPr>
          <w:rFonts w:ascii="Bookman Old Style" w:hAnsi="Bookman Old Style" w:cs="Tunga"/>
        </w:rPr>
      </w:pPr>
    </w:p>
    <w:p w:rsidR="00966850" w:rsidRDefault="00FB7DE8" w:rsidP="00966850">
      <w:pPr>
        <w:jc w:val="both"/>
        <w:rPr>
          <w:rFonts w:ascii="Bookman Old Style" w:hAnsi="Bookman Old Style" w:cs="Tunga"/>
          <w:b/>
        </w:rPr>
      </w:pPr>
      <w:r w:rsidRPr="00FB7DE8">
        <w:rPr>
          <w:rFonts w:ascii="Bookman Old Style" w:hAnsi="Bookman Old Style" w:cs="Tunga"/>
          <w:b/>
        </w:rPr>
        <w:t xml:space="preserve">3. </w:t>
      </w:r>
      <w:r w:rsidR="00966850" w:rsidRPr="00FB7DE8">
        <w:rPr>
          <w:rFonts w:ascii="Bookman Old Style" w:hAnsi="Bookman Old Style" w:cs="Tunga"/>
          <w:b/>
        </w:rPr>
        <w:t>Külföldinek minősül (tár</w:t>
      </w:r>
      <w:r>
        <w:rPr>
          <w:rFonts w:ascii="Bookman Old Style" w:hAnsi="Bookman Old Style" w:cs="Tunga"/>
          <w:b/>
        </w:rPr>
        <w:t>sadalombiztosítási szempontból)</w:t>
      </w:r>
    </w:p>
    <w:p w:rsidR="00FB7DE8" w:rsidRPr="00FB7DE8" w:rsidRDefault="00FB7DE8" w:rsidP="00966850">
      <w:pPr>
        <w:jc w:val="both"/>
        <w:rPr>
          <w:rFonts w:ascii="Bookman Old Style" w:hAnsi="Bookman Old Style" w:cs="Tunga"/>
          <w:b/>
        </w:rPr>
      </w:pPr>
    </w:p>
    <w:p w:rsidR="00966850" w:rsidRPr="00966850" w:rsidRDefault="00966850" w:rsidP="00966850">
      <w:pPr>
        <w:jc w:val="both"/>
        <w:rPr>
          <w:rFonts w:ascii="Bookman Old Style" w:hAnsi="Bookman Old Style" w:cs="Tunga"/>
        </w:rPr>
      </w:pPr>
      <w:r w:rsidRPr="00966850">
        <w:rPr>
          <w:rFonts w:ascii="Bookman Old Style" w:hAnsi="Bookman Old Style" w:cs="Tunga"/>
        </w:rPr>
        <w:t>Külföldinek minősül mindaz a természetes személy, akit nem kell belföldinek tekinteni.</w:t>
      </w:r>
    </w:p>
    <w:p w:rsidR="00966850" w:rsidRPr="00966850" w:rsidRDefault="00966850" w:rsidP="00966850">
      <w:pPr>
        <w:jc w:val="both"/>
        <w:rPr>
          <w:rFonts w:ascii="Bookman Old Style" w:hAnsi="Bookman Old Style" w:cs="Tunga"/>
        </w:rPr>
      </w:pPr>
      <w:r w:rsidRPr="00966850">
        <w:rPr>
          <w:rFonts w:ascii="Bookman Old Style" w:hAnsi="Bookman Old Style" w:cs="Tunga"/>
        </w:rPr>
        <w:t>Belföldinek minősül (társadalombiztosítási szempontból:</w:t>
      </w:r>
    </w:p>
    <w:p w:rsidR="00966850" w:rsidRPr="00966850" w:rsidRDefault="00966850" w:rsidP="00966850">
      <w:pPr>
        <w:jc w:val="both"/>
        <w:rPr>
          <w:rFonts w:ascii="Bookman Old Style" w:hAnsi="Bookman Old Style" w:cs="Tunga"/>
        </w:rPr>
      </w:pPr>
      <w:r w:rsidRPr="00966850">
        <w:rPr>
          <w:rFonts w:ascii="Bookman Old Style" w:hAnsi="Bookman Old Style" w:cs="Tunga"/>
        </w:rPr>
        <w:t>• a Magyar Köztársaság területén a lakcímnyilvántartóba bejelentett lakóhellyel rendelkező magyar állampolgárok (a polgár lakóhelye: annak a lakásnak a címe, amelyben a polgár él. A lakcímbejelentés szempontjából lakásnak tekintendő az az egy vagy több lakóhelyiségből álló épület vagy épületrész, amelyet a polgár életvitelszerűen otthonául használ, továbbá - a külföldön élő magyar és nem magyar állampolgárok kivételével - az a helyiség, ahol valaki szükségből lakik, vagy - amennyiben más lakása nincs - megszáll)</w:t>
      </w:r>
    </w:p>
    <w:p w:rsidR="00966850" w:rsidRPr="00966850" w:rsidRDefault="00966850" w:rsidP="00966850">
      <w:pPr>
        <w:jc w:val="both"/>
        <w:rPr>
          <w:rFonts w:ascii="Bookman Old Style" w:hAnsi="Bookman Old Style" w:cs="Tunga"/>
        </w:rPr>
      </w:pPr>
      <w:r w:rsidRPr="00966850">
        <w:rPr>
          <w:rFonts w:ascii="Bookman Old Style" w:hAnsi="Bookman Old Style" w:cs="Tunga"/>
        </w:rPr>
        <w:t>• bevándorolt</w:t>
      </w:r>
    </w:p>
    <w:p w:rsidR="00966850" w:rsidRPr="00966850" w:rsidRDefault="00966850" w:rsidP="00966850">
      <w:pPr>
        <w:jc w:val="both"/>
        <w:rPr>
          <w:rFonts w:ascii="Bookman Old Style" w:hAnsi="Bookman Old Style" w:cs="Tunga"/>
        </w:rPr>
      </w:pPr>
      <w:r w:rsidRPr="00966850">
        <w:rPr>
          <w:rFonts w:ascii="Bookman Old Style" w:hAnsi="Bookman Old Style" w:cs="Tunga"/>
        </w:rPr>
        <w:t>• letelepedési engedéllyel rendelkező (letelepedett)</w:t>
      </w:r>
    </w:p>
    <w:p w:rsidR="00966850" w:rsidRPr="00966850" w:rsidRDefault="00966850" w:rsidP="00966850">
      <w:pPr>
        <w:jc w:val="both"/>
        <w:rPr>
          <w:rFonts w:ascii="Bookman Old Style" w:hAnsi="Bookman Old Style" w:cs="Tunga"/>
        </w:rPr>
      </w:pPr>
      <w:r w:rsidRPr="00966850">
        <w:rPr>
          <w:rFonts w:ascii="Bookman Old Style" w:hAnsi="Bookman Old Style" w:cs="Tunga"/>
        </w:rPr>
        <w:t>• menekültként elismert</w:t>
      </w:r>
    </w:p>
    <w:p w:rsidR="00966850" w:rsidRPr="00966850" w:rsidRDefault="00966850" w:rsidP="00966850">
      <w:pPr>
        <w:jc w:val="both"/>
        <w:rPr>
          <w:rFonts w:ascii="Bookman Old Style" w:hAnsi="Bookman Old Style" w:cs="Tunga"/>
        </w:rPr>
      </w:pPr>
      <w:r w:rsidRPr="00966850">
        <w:rPr>
          <w:rFonts w:ascii="Bookman Old Style" w:hAnsi="Bookman Old Style" w:cs="Tunga"/>
        </w:rPr>
        <w:t>• a szabad mozgás és tartózkodás jogával rendelkező személyek beutazásáról és tartózkodásáról szóló 2007. évi I. törvény hatálya alá tartozó személy, aki a szabad mozgás és a három hónapot meghaladó tartózkodás jogát a Magyar Köztársaság területén gyakorolja, és itt a jogszabálynak (1992. évi LXVI. törvénynek) megfelelő bejelentett lakóhellyel (a lakóhely definícióját lásd e felsorolás 1. pontjában) rendelkezik.</w:t>
      </w:r>
    </w:p>
    <w:p w:rsidR="00966850" w:rsidRPr="00966850" w:rsidRDefault="00966850" w:rsidP="00966850">
      <w:pPr>
        <w:jc w:val="both"/>
        <w:rPr>
          <w:rFonts w:ascii="Bookman Old Style" w:hAnsi="Bookman Old Style" w:cs="Tunga"/>
        </w:rPr>
      </w:pPr>
      <w:r w:rsidRPr="00966850">
        <w:rPr>
          <w:rFonts w:ascii="Bookman Old Style" w:hAnsi="Bookman Old Style" w:cs="Tunga"/>
        </w:rPr>
        <w:t>Ide tartoznak az:</w:t>
      </w:r>
    </w:p>
    <w:p w:rsidR="00966850" w:rsidRPr="00966850" w:rsidRDefault="00966850" w:rsidP="00966850">
      <w:pPr>
        <w:jc w:val="both"/>
        <w:rPr>
          <w:rFonts w:ascii="Bookman Old Style" w:hAnsi="Bookman Old Style" w:cs="Tunga"/>
        </w:rPr>
      </w:pPr>
      <w:r w:rsidRPr="00966850">
        <w:rPr>
          <w:rFonts w:ascii="Bookman Old Style" w:hAnsi="Bookman Old Style" w:cs="Tunga"/>
        </w:rPr>
        <w:t>o EGT állampolgárok (EGT tagállam állampolgárai,) amennyiben rendelkeznek EGT tartózkodási engedéllyel, regisztrációs igazolással,</w:t>
      </w:r>
    </w:p>
    <w:p w:rsidR="00966850" w:rsidRPr="00966850" w:rsidRDefault="00966850" w:rsidP="00966850">
      <w:pPr>
        <w:jc w:val="both"/>
        <w:rPr>
          <w:rFonts w:ascii="Bookman Old Style" w:hAnsi="Bookman Old Style" w:cs="Tunga"/>
        </w:rPr>
      </w:pPr>
      <w:r w:rsidRPr="00966850">
        <w:rPr>
          <w:rFonts w:ascii="Bookman Old Style" w:hAnsi="Bookman Old Style" w:cs="Tunga"/>
        </w:rPr>
        <w:t>o EGT állampolgárokat kísérő családtagjai (amennyiben rendelkeznek a magyar idegenrendészeti hatóság által kiadott tartózkodási kártyával regisztrációs igazolással,)</w:t>
      </w:r>
    </w:p>
    <w:p w:rsidR="00966850" w:rsidRPr="00966850" w:rsidRDefault="00966850" w:rsidP="00966850">
      <w:pPr>
        <w:jc w:val="both"/>
        <w:rPr>
          <w:rFonts w:ascii="Bookman Old Style" w:hAnsi="Bookman Old Style" w:cs="Tunga"/>
        </w:rPr>
      </w:pPr>
      <w:r w:rsidRPr="00966850">
        <w:rPr>
          <w:rFonts w:ascii="Bookman Old Style" w:hAnsi="Bookman Old Style" w:cs="Tunga"/>
        </w:rPr>
        <w:t>o A magyar állampolgárt kísérő nem magyar állampolgárságú családtagjai, amennyiben rendelkeznek tartózkodási kártyával</w:t>
      </w:r>
    </w:p>
    <w:p w:rsidR="00966850" w:rsidRPr="00966850" w:rsidRDefault="00966850" w:rsidP="00966850">
      <w:pPr>
        <w:jc w:val="both"/>
        <w:rPr>
          <w:rFonts w:ascii="Bookman Old Style" w:hAnsi="Bookman Old Style" w:cs="Tunga"/>
        </w:rPr>
      </w:pPr>
      <w:r w:rsidRPr="00966850">
        <w:rPr>
          <w:rFonts w:ascii="Bookman Old Style" w:hAnsi="Bookman Old Style" w:cs="Tunga"/>
        </w:rPr>
        <w:t xml:space="preserve">o a magyar állampolgár vagy – magyar tartózkodási engedéllyel rendelkező – EGT állampolgárságú személy eltartottjai, vagy vele legalább egy éve egy háztartásban élő személyek, illetve akiről súlyos egészségügyi okból a magyar/EGT állampolgár személyesen gondoskodik, ha a magyar </w:t>
      </w:r>
      <w:r w:rsidRPr="00966850">
        <w:rPr>
          <w:rFonts w:ascii="Bookman Old Style" w:hAnsi="Bookman Old Style" w:cs="Tunga"/>
        </w:rPr>
        <w:lastRenderedPageBreak/>
        <w:t>idegenrendészeti hatóság a családtagként beutazást és tartózkodást engedélyezte</w:t>
      </w:r>
    </w:p>
    <w:p w:rsidR="00966850" w:rsidRPr="00966850" w:rsidRDefault="00966850" w:rsidP="00966850">
      <w:pPr>
        <w:jc w:val="both"/>
        <w:rPr>
          <w:rFonts w:ascii="Bookman Old Style" w:hAnsi="Bookman Old Style" w:cs="Tunga"/>
        </w:rPr>
      </w:pPr>
      <w:r w:rsidRPr="00966850">
        <w:rPr>
          <w:rFonts w:ascii="Bookman Old Style" w:hAnsi="Bookman Old Style" w:cs="Tunga"/>
        </w:rPr>
        <w:t>o Az EGT tagállamok állampolgáraival azonos jogállást élvező, de nem EGT tagállam állampolgárai, ha rendelkeznek tartózkodási engedéllyel,</w:t>
      </w:r>
    </w:p>
    <w:p w:rsidR="00966850" w:rsidRPr="00966850" w:rsidRDefault="00966850" w:rsidP="00966850">
      <w:pPr>
        <w:jc w:val="both"/>
        <w:rPr>
          <w:rFonts w:ascii="Bookman Old Style" w:hAnsi="Bookman Old Style" w:cs="Tunga"/>
        </w:rPr>
      </w:pPr>
      <w:r w:rsidRPr="00966850">
        <w:rPr>
          <w:rFonts w:ascii="Bookman Old Style" w:hAnsi="Bookman Old Style" w:cs="Tunga"/>
        </w:rPr>
        <w:t>• hontalan</w:t>
      </w:r>
    </w:p>
    <w:p w:rsidR="00966850" w:rsidRPr="00966850" w:rsidRDefault="00966850" w:rsidP="00966850">
      <w:pPr>
        <w:jc w:val="both"/>
        <w:rPr>
          <w:rFonts w:ascii="Bookman Old Style" w:hAnsi="Bookman Old Style" w:cs="Tunga"/>
        </w:rPr>
      </w:pPr>
      <w:r w:rsidRPr="00966850">
        <w:rPr>
          <w:rFonts w:ascii="Bookman Old Style" w:hAnsi="Bookman Old Style" w:cs="Tunga"/>
        </w:rPr>
        <w:t>Ideiglenesen, rövid ideig Magyarországon tartózkodó külföldi állampolgárok</w:t>
      </w:r>
    </w:p>
    <w:p w:rsidR="00966850" w:rsidRPr="00966850" w:rsidRDefault="00966850" w:rsidP="00966850">
      <w:pPr>
        <w:jc w:val="both"/>
        <w:rPr>
          <w:rFonts w:ascii="Bookman Old Style" w:hAnsi="Bookman Old Style" w:cs="Tunga"/>
        </w:rPr>
      </w:pPr>
      <w:r w:rsidRPr="00966850">
        <w:rPr>
          <w:rFonts w:ascii="Bookman Old Style" w:hAnsi="Bookman Old Style" w:cs="Tunga"/>
        </w:rPr>
        <w:t>Az EGT állampolgárokra vonatkozó ellátási jogosultságokat az „Ellátások az EU-ban” című résznél ismertetjük.</w:t>
      </w:r>
    </w:p>
    <w:p w:rsidR="00966850" w:rsidRPr="00966850" w:rsidRDefault="00966850" w:rsidP="00966850">
      <w:pPr>
        <w:jc w:val="both"/>
        <w:rPr>
          <w:rFonts w:ascii="Bookman Old Style" w:hAnsi="Bookman Old Style" w:cs="Tunga"/>
        </w:rPr>
      </w:pPr>
      <w:r w:rsidRPr="00966850">
        <w:rPr>
          <w:rFonts w:ascii="Bookman Old Style" w:hAnsi="Bookman Old Style" w:cs="Tunga"/>
        </w:rPr>
        <w:t>Egészségügyi ellátás egyezményes és harmadik államok polgárai vonatkozásában</w:t>
      </w:r>
    </w:p>
    <w:p w:rsidR="00966850" w:rsidRPr="00966850" w:rsidRDefault="00966850" w:rsidP="00966850">
      <w:pPr>
        <w:jc w:val="both"/>
        <w:rPr>
          <w:rFonts w:ascii="Bookman Old Style" w:hAnsi="Bookman Old Style" w:cs="Tunga"/>
        </w:rPr>
      </w:pPr>
      <w:r w:rsidRPr="00966850">
        <w:rPr>
          <w:rFonts w:ascii="Bookman Old Style" w:hAnsi="Bookman Old Style" w:cs="Tunga"/>
        </w:rPr>
        <w:t>Viszonosság, illetve különböző egyezmények alapján az egyezményekben részes államok állampolgárai külföldi tartózkodásuk idejére kölcsönösen különböző egészségügyi ellátási jogosultságokat biztosítanak.</w:t>
      </w:r>
    </w:p>
    <w:p w:rsidR="00966850" w:rsidRDefault="00966850" w:rsidP="00966850">
      <w:pPr>
        <w:jc w:val="both"/>
        <w:rPr>
          <w:rFonts w:ascii="Bookman Old Style" w:hAnsi="Bookman Old Style" w:cs="Tunga"/>
        </w:rPr>
      </w:pPr>
      <w:r w:rsidRPr="00966850">
        <w:rPr>
          <w:rFonts w:ascii="Bookman Old Style" w:hAnsi="Bookman Old Style" w:cs="Tunga"/>
        </w:rPr>
        <w:t>Az egyezményes országokból érkező, Magyarországon nem biztosított külföldi állampolgárok (különböző elszámolási módok alapján az egészségbiztosítás terhére) az itt tartózkodásuk alatt feltétlenül szükséges mértékben, heveny megbetegedés illetve sürgős szükség esetén, az életet veszélyeztető állapotok és betegségek ellátásai, valamint azok maradandó egészségkárosító hatásának megelőzése érdekében a beteg állapotának stabilizálása céljából a magyar biztosítottakkal azonos fizetési feltételek mellett jogosultak egészségügyi ellátásra. Ez az ellátás magában foglalja az alap orvosi ellátást, a járóbeteg-ellátást, a fekvőbeteg-gyógyintézeti (kórházi) ellátást is.</w:t>
      </w:r>
    </w:p>
    <w:p w:rsidR="008158BC" w:rsidRDefault="008158BC" w:rsidP="00966850">
      <w:pPr>
        <w:jc w:val="both"/>
        <w:rPr>
          <w:rFonts w:ascii="Bookman Old Style" w:hAnsi="Bookman Old Style" w:cs="Tunga"/>
        </w:rPr>
      </w:pPr>
    </w:p>
    <w:p w:rsidR="008158BC" w:rsidRPr="00966850" w:rsidRDefault="005526DE" w:rsidP="00966850">
      <w:pPr>
        <w:jc w:val="both"/>
        <w:rPr>
          <w:rFonts w:ascii="Bookman Old Style" w:hAnsi="Bookman Old Style" w:cs="Tunga"/>
        </w:rPr>
      </w:pPr>
      <w:r>
        <w:rPr>
          <w:noProof/>
        </w:rPr>
        <w:drawing>
          <wp:inline distT="0" distB="0" distL="0" distR="0">
            <wp:extent cx="3093720" cy="1905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720" cy="1905000"/>
                    </a:xfrm>
                    <a:prstGeom prst="rect">
                      <a:avLst/>
                    </a:prstGeom>
                    <a:noFill/>
                    <a:ln>
                      <a:noFill/>
                    </a:ln>
                  </pic:spPr>
                </pic:pic>
              </a:graphicData>
            </a:graphic>
          </wp:inline>
        </w:drawing>
      </w:r>
    </w:p>
    <w:p w:rsidR="00FB7DE8" w:rsidRDefault="00FB7DE8" w:rsidP="00966850">
      <w:pPr>
        <w:jc w:val="both"/>
        <w:rPr>
          <w:rFonts w:ascii="Bookman Old Style" w:hAnsi="Bookman Old Style" w:cs="Tunga"/>
        </w:rPr>
      </w:pPr>
    </w:p>
    <w:p w:rsidR="00966850" w:rsidRPr="008158BC" w:rsidRDefault="00FB7DE8" w:rsidP="00966850">
      <w:pPr>
        <w:jc w:val="both"/>
        <w:rPr>
          <w:rFonts w:ascii="Bookman Old Style" w:hAnsi="Bookman Old Style" w:cs="Tunga"/>
          <w:b/>
        </w:rPr>
      </w:pPr>
      <w:r w:rsidRPr="008158BC">
        <w:rPr>
          <w:rFonts w:ascii="Bookman Old Style" w:hAnsi="Bookman Old Style" w:cs="Tunga"/>
          <w:b/>
        </w:rPr>
        <w:t xml:space="preserve">4. </w:t>
      </w:r>
      <w:r w:rsidR="00966850" w:rsidRPr="008158BC">
        <w:rPr>
          <w:rFonts w:ascii="Bookman Old Style" w:hAnsi="Bookman Old Style" w:cs="Tunga"/>
          <w:b/>
        </w:rPr>
        <w:t>A Magyarországon munkát vállaló külföldiek</w:t>
      </w:r>
    </w:p>
    <w:p w:rsidR="00966850" w:rsidRPr="00966850" w:rsidRDefault="00966850" w:rsidP="00966850">
      <w:pPr>
        <w:jc w:val="both"/>
        <w:rPr>
          <w:rFonts w:ascii="Bookman Old Style" w:hAnsi="Bookman Old Style" w:cs="Tunga"/>
        </w:rPr>
      </w:pPr>
      <w:r w:rsidRPr="00966850">
        <w:rPr>
          <w:rFonts w:ascii="Bookman Old Style" w:hAnsi="Bookman Old Style" w:cs="Tunga"/>
        </w:rPr>
        <w:t>A munkavállalás céljából Magyarországra érkező külföldi állampolgár főszabály szerint a Magyarországon belföldinek minősülő munkáltatóval fennálló munkaviszonya kezdetétől biztosítottnak számít, utána a munkáltató járulékot fizet. Ennek alapján jogosultságot szerez az egészségbiztosítás valamennyi ellátására.</w:t>
      </w:r>
    </w:p>
    <w:p w:rsidR="00966850" w:rsidRPr="00966850" w:rsidRDefault="00966850" w:rsidP="00966850">
      <w:pPr>
        <w:jc w:val="both"/>
        <w:rPr>
          <w:rFonts w:ascii="Bookman Old Style" w:hAnsi="Bookman Old Style" w:cs="Tunga"/>
        </w:rPr>
      </w:pPr>
      <w:r w:rsidRPr="00966850">
        <w:rPr>
          <w:rFonts w:ascii="Bookman Old Style" w:hAnsi="Bookman Old Style" w:cs="Tunga"/>
        </w:rPr>
        <w:t>2007. április 1-jével az eltartott hozzátartozó, mint ellátásra jogosultságot keletkeztető státusz megszűnt, ezért ezt követően a Magyarországon biztosított külföldiek egyéb jogcímen ellátásra nem jogosult közeli hozzátartozói a regionális egészségbiztosítási pénztárnál kötött megállapodás alapján válhatnak egészségügyi ellátásra jogosulttá.</w:t>
      </w:r>
    </w:p>
    <w:p w:rsidR="00CC4DAE" w:rsidRDefault="00CC4DAE" w:rsidP="000E03E4">
      <w:pPr>
        <w:jc w:val="both"/>
        <w:rPr>
          <w:rFonts w:ascii="Bookman Old Style" w:hAnsi="Bookman Old Style" w:cs="Tunga"/>
        </w:rPr>
      </w:pPr>
    </w:p>
    <w:p w:rsidR="00CC4DAE" w:rsidRDefault="00CC4DAE" w:rsidP="000E03E4">
      <w:pPr>
        <w:jc w:val="both"/>
        <w:rPr>
          <w:rFonts w:ascii="Bookman Old Style" w:hAnsi="Bookman Old Style" w:cs="Tunga"/>
        </w:rPr>
      </w:pPr>
    </w:p>
    <w:p w:rsidR="00FB7DE8" w:rsidRPr="000E03E4" w:rsidRDefault="00FB7DE8" w:rsidP="000E03E4">
      <w:pPr>
        <w:jc w:val="both"/>
        <w:rPr>
          <w:rFonts w:ascii="Bookman Old Style" w:hAnsi="Bookman Old Style" w:cs="Tunga"/>
        </w:rPr>
      </w:pPr>
    </w:p>
    <w:p w:rsidR="000E03E4" w:rsidRPr="000E03E4" w:rsidRDefault="000E03E4" w:rsidP="000E03E4">
      <w:pPr>
        <w:jc w:val="both"/>
        <w:rPr>
          <w:rFonts w:ascii="Bookman Old Style" w:hAnsi="Bookman Old Style" w:cs="Tunga"/>
        </w:rPr>
      </w:pPr>
      <w:r w:rsidRPr="000E03E4">
        <w:rPr>
          <w:rFonts w:ascii="Bookman Old Style" w:hAnsi="Bookman Old Style" w:cs="Tunga"/>
        </w:rPr>
        <w:t xml:space="preserve">Kiadja a Tribunus Jogsegélyszolgálat Közhasznú Egyesület vezetősége </w:t>
      </w:r>
    </w:p>
    <w:sectPr w:rsidR="000E03E4" w:rsidRPr="000E03E4" w:rsidSect="000E03E4">
      <w:footerReference w:type="even" r:id="rId15"/>
      <w:footerReference w:type="default" r:id="rId16"/>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90" w:rsidRDefault="000A6390">
      <w:r>
        <w:separator/>
      </w:r>
    </w:p>
  </w:endnote>
  <w:endnote w:type="continuationSeparator" w:id="0">
    <w:p w:rsidR="000A6390" w:rsidRDefault="000A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BC" w:rsidRDefault="008158BC" w:rsidP="00837EF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158BC" w:rsidRDefault="008158BC" w:rsidP="00837EF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BC" w:rsidRDefault="008158BC" w:rsidP="00837EF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8158BC" w:rsidRDefault="008158BC" w:rsidP="00837E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90" w:rsidRDefault="000A6390">
      <w:r>
        <w:separator/>
      </w:r>
    </w:p>
  </w:footnote>
  <w:footnote w:type="continuationSeparator" w:id="0">
    <w:p w:rsidR="000A6390" w:rsidRDefault="000A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E4"/>
    <w:rsid w:val="000842F8"/>
    <w:rsid w:val="00096A55"/>
    <w:rsid w:val="000A6390"/>
    <w:rsid w:val="000E03E4"/>
    <w:rsid w:val="00383DE5"/>
    <w:rsid w:val="004A1B19"/>
    <w:rsid w:val="005526DE"/>
    <w:rsid w:val="008158BC"/>
    <w:rsid w:val="00837EFC"/>
    <w:rsid w:val="00881E95"/>
    <w:rsid w:val="00966850"/>
    <w:rsid w:val="00C243D7"/>
    <w:rsid w:val="00CC4DAE"/>
    <w:rsid w:val="00E45D74"/>
    <w:rsid w:val="00FB7D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21C18F-2094-4879-8F0E-2AEC12FF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0E03E4"/>
    <w:rPr>
      <w:color w:val="0000FF"/>
      <w:u w:val="single"/>
    </w:rPr>
  </w:style>
  <w:style w:type="paragraph" w:styleId="NormlWeb">
    <w:name w:val="Normal (Web)"/>
    <w:basedOn w:val="Norml"/>
    <w:rsid w:val="00CC4DAE"/>
    <w:pPr>
      <w:spacing w:before="100" w:beforeAutospacing="1" w:after="100" w:afterAutospacing="1"/>
    </w:pPr>
  </w:style>
  <w:style w:type="paragraph" w:styleId="llb">
    <w:name w:val="footer"/>
    <w:basedOn w:val="Norml"/>
    <w:rsid w:val="00837EFC"/>
    <w:pPr>
      <w:tabs>
        <w:tab w:val="center" w:pos="4536"/>
        <w:tab w:val="right" w:pos="9072"/>
      </w:tabs>
    </w:pPr>
  </w:style>
  <w:style w:type="character" w:styleId="Oldalszm">
    <w:name w:val="page number"/>
    <w:basedOn w:val="Bekezdsalapbettpusa"/>
    <w:rsid w:val="0083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079">
      <w:bodyDiv w:val="1"/>
      <w:marLeft w:val="0"/>
      <w:marRight w:val="0"/>
      <w:marTop w:val="0"/>
      <w:marBottom w:val="0"/>
      <w:divBdr>
        <w:top w:val="none" w:sz="0" w:space="0" w:color="auto"/>
        <w:left w:val="none" w:sz="0" w:space="0" w:color="auto"/>
        <w:bottom w:val="none" w:sz="0" w:space="0" w:color="auto"/>
        <w:right w:val="none" w:sz="0" w:space="0" w:color="auto"/>
      </w:divBdr>
      <w:divsChild>
        <w:div w:id="97991494">
          <w:marLeft w:val="0"/>
          <w:marRight w:val="0"/>
          <w:marTop w:val="0"/>
          <w:marBottom w:val="0"/>
          <w:divBdr>
            <w:top w:val="none" w:sz="0" w:space="0" w:color="auto"/>
            <w:left w:val="none" w:sz="0" w:space="0" w:color="auto"/>
            <w:bottom w:val="none" w:sz="0" w:space="0" w:color="auto"/>
            <w:right w:val="none" w:sz="0" w:space="0" w:color="auto"/>
          </w:divBdr>
          <w:divsChild>
            <w:div w:id="1074398472">
              <w:marLeft w:val="0"/>
              <w:marRight w:val="0"/>
              <w:marTop w:val="0"/>
              <w:marBottom w:val="0"/>
              <w:divBdr>
                <w:top w:val="none" w:sz="0" w:space="0" w:color="auto"/>
                <w:left w:val="none" w:sz="0" w:space="0" w:color="auto"/>
                <w:bottom w:val="none" w:sz="0" w:space="0" w:color="auto"/>
                <w:right w:val="none" w:sz="0" w:space="0" w:color="auto"/>
              </w:divBdr>
              <w:divsChild>
                <w:div w:id="1588801948">
                  <w:marLeft w:val="0"/>
                  <w:marRight w:val="0"/>
                  <w:marTop w:val="0"/>
                  <w:marBottom w:val="0"/>
                  <w:divBdr>
                    <w:top w:val="none" w:sz="0" w:space="0" w:color="auto"/>
                    <w:left w:val="none" w:sz="0" w:space="0" w:color="auto"/>
                    <w:bottom w:val="none" w:sz="0" w:space="0" w:color="auto"/>
                    <w:right w:val="none" w:sz="0" w:space="0" w:color="auto"/>
                  </w:divBdr>
                  <w:divsChild>
                    <w:div w:id="676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6566">
      <w:bodyDiv w:val="1"/>
      <w:marLeft w:val="0"/>
      <w:marRight w:val="0"/>
      <w:marTop w:val="0"/>
      <w:marBottom w:val="0"/>
      <w:divBdr>
        <w:top w:val="none" w:sz="0" w:space="0" w:color="auto"/>
        <w:left w:val="none" w:sz="0" w:space="0" w:color="auto"/>
        <w:bottom w:val="none" w:sz="0" w:space="0" w:color="auto"/>
        <w:right w:val="none" w:sz="0" w:space="0" w:color="auto"/>
      </w:divBdr>
      <w:divsChild>
        <w:div w:id="928200785">
          <w:marLeft w:val="0"/>
          <w:marRight w:val="0"/>
          <w:marTop w:val="0"/>
          <w:marBottom w:val="0"/>
          <w:divBdr>
            <w:top w:val="none" w:sz="0" w:space="0" w:color="auto"/>
            <w:left w:val="none" w:sz="0" w:space="0" w:color="auto"/>
            <w:bottom w:val="none" w:sz="0" w:space="0" w:color="auto"/>
            <w:right w:val="none" w:sz="0" w:space="0" w:color="auto"/>
          </w:divBdr>
          <w:divsChild>
            <w:div w:id="1505821998">
              <w:marLeft w:val="0"/>
              <w:marRight w:val="0"/>
              <w:marTop w:val="0"/>
              <w:marBottom w:val="0"/>
              <w:divBdr>
                <w:top w:val="none" w:sz="0" w:space="0" w:color="auto"/>
                <w:left w:val="none" w:sz="0" w:space="0" w:color="auto"/>
                <w:bottom w:val="none" w:sz="0" w:space="0" w:color="auto"/>
                <w:right w:val="none" w:sz="0" w:space="0" w:color="auto"/>
              </w:divBdr>
              <w:divsChild>
                <w:div w:id="1301030447">
                  <w:marLeft w:val="0"/>
                  <w:marRight w:val="0"/>
                  <w:marTop w:val="0"/>
                  <w:marBottom w:val="0"/>
                  <w:divBdr>
                    <w:top w:val="none" w:sz="0" w:space="0" w:color="auto"/>
                    <w:left w:val="none" w:sz="0" w:space="0" w:color="auto"/>
                    <w:bottom w:val="none" w:sz="0" w:space="0" w:color="auto"/>
                    <w:right w:val="none" w:sz="0" w:space="0" w:color="auto"/>
                  </w:divBdr>
                  <w:divsChild>
                    <w:div w:id="689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4371">
      <w:bodyDiv w:val="1"/>
      <w:marLeft w:val="0"/>
      <w:marRight w:val="0"/>
      <w:marTop w:val="0"/>
      <w:marBottom w:val="0"/>
      <w:divBdr>
        <w:top w:val="none" w:sz="0" w:space="0" w:color="auto"/>
        <w:left w:val="none" w:sz="0" w:space="0" w:color="auto"/>
        <w:bottom w:val="none" w:sz="0" w:space="0" w:color="auto"/>
        <w:right w:val="none" w:sz="0" w:space="0" w:color="auto"/>
      </w:divBdr>
      <w:divsChild>
        <w:div w:id="1670451245">
          <w:marLeft w:val="0"/>
          <w:marRight w:val="0"/>
          <w:marTop w:val="0"/>
          <w:marBottom w:val="0"/>
          <w:divBdr>
            <w:top w:val="none" w:sz="0" w:space="0" w:color="auto"/>
            <w:left w:val="none" w:sz="0" w:space="0" w:color="auto"/>
            <w:bottom w:val="none" w:sz="0" w:space="0" w:color="auto"/>
            <w:right w:val="none" w:sz="0" w:space="0" w:color="auto"/>
          </w:divBdr>
          <w:divsChild>
            <w:div w:id="2023243012">
              <w:marLeft w:val="0"/>
              <w:marRight w:val="0"/>
              <w:marTop w:val="0"/>
              <w:marBottom w:val="0"/>
              <w:divBdr>
                <w:top w:val="none" w:sz="0" w:space="0" w:color="auto"/>
                <w:left w:val="none" w:sz="0" w:space="0" w:color="auto"/>
                <w:bottom w:val="none" w:sz="0" w:space="0" w:color="auto"/>
                <w:right w:val="none" w:sz="0" w:space="0" w:color="auto"/>
              </w:divBdr>
              <w:divsChild>
                <w:div w:id="598834942">
                  <w:marLeft w:val="0"/>
                  <w:marRight w:val="0"/>
                  <w:marTop w:val="0"/>
                  <w:marBottom w:val="0"/>
                  <w:divBdr>
                    <w:top w:val="none" w:sz="0" w:space="0" w:color="auto"/>
                    <w:left w:val="none" w:sz="0" w:space="0" w:color="auto"/>
                    <w:bottom w:val="none" w:sz="0" w:space="0" w:color="auto"/>
                    <w:right w:val="none" w:sz="0" w:space="0" w:color="auto"/>
                  </w:divBdr>
                  <w:divsChild>
                    <w:div w:id="12199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5334">
      <w:bodyDiv w:val="1"/>
      <w:marLeft w:val="0"/>
      <w:marRight w:val="0"/>
      <w:marTop w:val="0"/>
      <w:marBottom w:val="0"/>
      <w:divBdr>
        <w:top w:val="none" w:sz="0" w:space="0" w:color="auto"/>
        <w:left w:val="none" w:sz="0" w:space="0" w:color="auto"/>
        <w:bottom w:val="none" w:sz="0" w:space="0" w:color="auto"/>
        <w:right w:val="none" w:sz="0" w:space="0" w:color="auto"/>
      </w:divBdr>
      <w:divsChild>
        <w:div w:id="1994676062">
          <w:marLeft w:val="0"/>
          <w:marRight w:val="0"/>
          <w:marTop w:val="0"/>
          <w:marBottom w:val="0"/>
          <w:divBdr>
            <w:top w:val="none" w:sz="0" w:space="0" w:color="auto"/>
            <w:left w:val="none" w:sz="0" w:space="0" w:color="auto"/>
            <w:bottom w:val="none" w:sz="0" w:space="0" w:color="auto"/>
            <w:right w:val="none" w:sz="0" w:space="0" w:color="auto"/>
          </w:divBdr>
          <w:divsChild>
            <w:div w:id="133564927">
              <w:marLeft w:val="0"/>
              <w:marRight w:val="0"/>
              <w:marTop w:val="0"/>
              <w:marBottom w:val="0"/>
              <w:divBdr>
                <w:top w:val="none" w:sz="0" w:space="0" w:color="auto"/>
                <w:left w:val="none" w:sz="0" w:space="0" w:color="auto"/>
                <w:bottom w:val="none" w:sz="0" w:space="0" w:color="auto"/>
                <w:right w:val="none" w:sz="0" w:space="0" w:color="auto"/>
              </w:divBdr>
              <w:divsChild>
                <w:div w:id="1633243505">
                  <w:marLeft w:val="0"/>
                  <w:marRight w:val="0"/>
                  <w:marTop w:val="0"/>
                  <w:marBottom w:val="0"/>
                  <w:divBdr>
                    <w:top w:val="none" w:sz="0" w:space="0" w:color="auto"/>
                    <w:left w:val="none" w:sz="0" w:space="0" w:color="auto"/>
                    <w:bottom w:val="none" w:sz="0" w:space="0" w:color="auto"/>
                    <w:right w:val="none" w:sz="0" w:space="0" w:color="auto"/>
                  </w:divBdr>
                  <w:divsChild>
                    <w:div w:id="1299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1021">
      <w:bodyDiv w:val="1"/>
      <w:marLeft w:val="0"/>
      <w:marRight w:val="0"/>
      <w:marTop w:val="0"/>
      <w:marBottom w:val="0"/>
      <w:divBdr>
        <w:top w:val="none" w:sz="0" w:space="0" w:color="auto"/>
        <w:left w:val="none" w:sz="0" w:space="0" w:color="auto"/>
        <w:bottom w:val="none" w:sz="0" w:space="0" w:color="auto"/>
        <w:right w:val="none" w:sz="0" w:space="0" w:color="auto"/>
      </w:divBdr>
      <w:divsChild>
        <w:div w:id="717895229">
          <w:marLeft w:val="0"/>
          <w:marRight w:val="0"/>
          <w:marTop w:val="0"/>
          <w:marBottom w:val="0"/>
          <w:divBdr>
            <w:top w:val="none" w:sz="0" w:space="0" w:color="auto"/>
            <w:left w:val="none" w:sz="0" w:space="0" w:color="auto"/>
            <w:bottom w:val="none" w:sz="0" w:space="0" w:color="auto"/>
            <w:right w:val="none" w:sz="0" w:space="0" w:color="auto"/>
          </w:divBdr>
          <w:divsChild>
            <w:div w:id="559753463">
              <w:marLeft w:val="0"/>
              <w:marRight w:val="0"/>
              <w:marTop w:val="0"/>
              <w:marBottom w:val="0"/>
              <w:divBdr>
                <w:top w:val="none" w:sz="0" w:space="0" w:color="auto"/>
                <w:left w:val="none" w:sz="0" w:space="0" w:color="auto"/>
                <w:bottom w:val="none" w:sz="0" w:space="0" w:color="auto"/>
                <w:right w:val="none" w:sz="0" w:space="0" w:color="auto"/>
              </w:divBdr>
              <w:divsChild>
                <w:div w:id="820345492">
                  <w:marLeft w:val="0"/>
                  <w:marRight w:val="0"/>
                  <w:marTop w:val="0"/>
                  <w:marBottom w:val="0"/>
                  <w:divBdr>
                    <w:top w:val="none" w:sz="0" w:space="0" w:color="auto"/>
                    <w:left w:val="none" w:sz="0" w:space="0" w:color="auto"/>
                    <w:bottom w:val="none" w:sz="0" w:space="0" w:color="auto"/>
                    <w:right w:val="none" w:sz="0" w:space="0" w:color="auto"/>
                  </w:divBdr>
                  <w:divsChild>
                    <w:div w:id="19101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7049">
      <w:bodyDiv w:val="1"/>
      <w:marLeft w:val="0"/>
      <w:marRight w:val="0"/>
      <w:marTop w:val="0"/>
      <w:marBottom w:val="0"/>
      <w:divBdr>
        <w:top w:val="none" w:sz="0" w:space="0" w:color="auto"/>
        <w:left w:val="none" w:sz="0" w:space="0" w:color="auto"/>
        <w:bottom w:val="none" w:sz="0" w:space="0" w:color="auto"/>
        <w:right w:val="none" w:sz="0" w:space="0" w:color="auto"/>
      </w:divBdr>
      <w:divsChild>
        <w:div w:id="735205995">
          <w:marLeft w:val="0"/>
          <w:marRight w:val="0"/>
          <w:marTop w:val="0"/>
          <w:marBottom w:val="0"/>
          <w:divBdr>
            <w:top w:val="none" w:sz="0" w:space="0" w:color="auto"/>
            <w:left w:val="none" w:sz="0" w:space="0" w:color="auto"/>
            <w:bottom w:val="none" w:sz="0" w:space="0" w:color="auto"/>
            <w:right w:val="none" w:sz="0" w:space="0" w:color="auto"/>
          </w:divBdr>
          <w:divsChild>
            <w:div w:id="2016036943">
              <w:marLeft w:val="0"/>
              <w:marRight w:val="0"/>
              <w:marTop w:val="0"/>
              <w:marBottom w:val="0"/>
              <w:divBdr>
                <w:top w:val="none" w:sz="0" w:space="0" w:color="auto"/>
                <w:left w:val="none" w:sz="0" w:space="0" w:color="auto"/>
                <w:bottom w:val="none" w:sz="0" w:space="0" w:color="auto"/>
                <w:right w:val="none" w:sz="0" w:space="0" w:color="auto"/>
              </w:divBdr>
              <w:divsChild>
                <w:div w:id="696587762">
                  <w:marLeft w:val="0"/>
                  <w:marRight w:val="0"/>
                  <w:marTop w:val="0"/>
                  <w:marBottom w:val="0"/>
                  <w:divBdr>
                    <w:top w:val="none" w:sz="0" w:space="0" w:color="auto"/>
                    <w:left w:val="none" w:sz="0" w:space="0" w:color="auto"/>
                    <w:bottom w:val="none" w:sz="0" w:space="0" w:color="auto"/>
                    <w:right w:val="none" w:sz="0" w:space="0" w:color="auto"/>
                  </w:divBdr>
                  <w:divsChild>
                    <w:div w:id="959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3244">
      <w:bodyDiv w:val="1"/>
      <w:marLeft w:val="0"/>
      <w:marRight w:val="0"/>
      <w:marTop w:val="0"/>
      <w:marBottom w:val="0"/>
      <w:divBdr>
        <w:top w:val="none" w:sz="0" w:space="0" w:color="auto"/>
        <w:left w:val="none" w:sz="0" w:space="0" w:color="auto"/>
        <w:bottom w:val="none" w:sz="0" w:space="0" w:color="auto"/>
        <w:right w:val="none" w:sz="0" w:space="0" w:color="auto"/>
      </w:divBdr>
      <w:divsChild>
        <w:div w:id="782697818">
          <w:marLeft w:val="0"/>
          <w:marRight w:val="0"/>
          <w:marTop w:val="0"/>
          <w:marBottom w:val="0"/>
          <w:divBdr>
            <w:top w:val="none" w:sz="0" w:space="0" w:color="auto"/>
            <w:left w:val="none" w:sz="0" w:space="0" w:color="auto"/>
            <w:bottom w:val="none" w:sz="0" w:space="0" w:color="auto"/>
            <w:right w:val="none" w:sz="0" w:space="0" w:color="auto"/>
          </w:divBdr>
          <w:divsChild>
            <w:div w:id="591671531">
              <w:marLeft w:val="0"/>
              <w:marRight w:val="0"/>
              <w:marTop w:val="0"/>
              <w:marBottom w:val="0"/>
              <w:divBdr>
                <w:top w:val="none" w:sz="0" w:space="0" w:color="auto"/>
                <w:left w:val="none" w:sz="0" w:space="0" w:color="auto"/>
                <w:bottom w:val="none" w:sz="0" w:space="0" w:color="auto"/>
                <w:right w:val="none" w:sz="0" w:space="0" w:color="auto"/>
              </w:divBdr>
              <w:divsChild>
                <w:div w:id="1704558151">
                  <w:marLeft w:val="0"/>
                  <w:marRight w:val="0"/>
                  <w:marTop w:val="0"/>
                  <w:marBottom w:val="0"/>
                  <w:divBdr>
                    <w:top w:val="none" w:sz="0" w:space="0" w:color="auto"/>
                    <w:left w:val="none" w:sz="0" w:space="0" w:color="auto"/>
                    <w:bottom w:val="none" w:sz="0" w:space="0" w:color="auto"/>
                    <w:right w:val="none" w:sz="0" w:space="0" w:color="auto"/>
                  </w:divBdr>
                  <w:divsChild>
                    <w:div w:id="5319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362">
      <w:bodyDiv w:val="1"/>
      <w:marLeft w:val="0"/>
      <w:marRight w:val="0"/>
      <w:marTop w:val="0"/>
      <w:marBottom w:val="0"/>
      <w:divBdr>
        <w:top w:val="none" w:sz="0" w:space="0" w:color="auto"/>
        <w:left w:val="none" w:sz="0" w:space="0" w:color="auto"/>
        <w:bottom w:val="none" w:sz="0" w:space="0" w:color="auto"/>
        <w:right w:val="none" w:sz="0" w:space="0" w:color="auto"/>
      </w:divBdr>
      <w:divsChild>
        <w:div w:id="1419247736">
          <w:marLeft w:val="0"/>
          <w:marRight w:val="0"/>
          <w:marTop w:val="0"/>
          <w:marBottom w:val="0"/>
          <w:divBdr>
            <w:top w:val="none" w:sz="0" w:space="0" w:color="auto"/>
            <w:left w:val="none" w:sz="0" w:space="0" w:color="auto"/>
            <w:bottom w:val="none" w:sz="0" w:space="0" w:color="auto"/>
            <w:right w:val="none" w:sz="0" w:space="0" w:color="auto"/>
          </w:divBdr>
          <w:divsChild>
            <w:div w:id="1435857243">
              <w:marLeft w:val="0"/>
              <w:marRight w:val="0"/>
              <w:marTop w:val="0"/>
              <w:marBottom w:val="0"/>
              <w:divBdr>
                <w:top w:val="none" w:sz="0" w:space="0" w:color="auto"/>
                <w:left w:val="none" w:sz="0" w:space="0" w:color="auto"/>
                <w:bottom w:val="none" w:sz="0" w:space="0" w:color="auto"/>
                <w:right w:val="none" w:sz="0" w:space="0" w:color="auto"/>
              </w:divBdr>
              <w:divsChild>
                <w:div w:id="85657923">
                  <w:marLeft w:val="0"/>
                  <w:marRight w:val="0"/>
                  <w:marTop w:val="0"/>
                  <w:marBottom w:val="0"/>
                  <w:divBdr>
                    <w:top w:val="none" w:sz="0" w:space="0" w:color="auto"/>
                    <w:left w:val="none" w:sz="0" w:space="0" w:color="auto"/>
                    <w:bottom w:val="none" w:sz="0" w:space="0" w:color="auto"/>
                    <w:right w:val="none" w:sz="0" w:space="0" w:color="auto"/>
                  </w:divBdr>
                  <w:divsChild>
                    <w:div w:id="150753759">
                      <w:marLeft w:val="0"/>
                      <w:marRight w:val="0"/>
                      <w:marTop w:val="0"/>
                      <w:marBottom w:val="0"/>
                      <w:divBdr>
                        <w:top w:val="none" w:sz="0" w:space="0" w:color="auto"/>
                        <w:left w:val="none" w:sz="0" w:space="0" w:color="auto"/>
                        <w:bottom w:val="none" w:sz="0" w:space="0" w:color="auto"/>
                        <w:right w:val="none" w:sz="0" w:space="0" w:color="auto"/>
                      </w:divBdr>
                      <w:divsChild>
                        <w:div w:id="1113591162">
                          <w:marLeft w:val="0"/>
                          <w:marRight w:val="0"/>
                          <w:marTop w:val="0"/>
                          <w:marBottom w:val="0"/>
                          <w:divBdr>
                            <w:top w:val="none" w:sz="0" w:space="0" w:color="auto"/>
                            <w:left w:val="none" w:sz="0" w:space="0" w:color="auto"/>
                            <w:bottom w:val="none" w:sz="0" w:space="0" w:color="auto"/>
                            <w:right w:val="none" w:sz="0" w:space="0" w:color="auto"/>
                          </w:divBdr>
                          <w:divsChild>
                            <w:div w:id="1799837103">
                              <w:marLeft w:val="75"/>
                              <w:marRight w:val="75"/>
                              <w:marTop w:val="0"/>
                              <w:marBottom w:val="0"/>
                              <w:divBdr>
                                <w:top w:val="none" w:sz="0" w:space="0" w:color="auto"/>
                                <w:left w:val="none" w:sz="0" w:space="0" w:color="auto"/>
                                <w:bottom w:val="none" w:sz="0" w:space="0" w:color="auto"/>
                                <w:right w:val="none" w:sz="0" w:space="0" w:color="auto"/>
                              </w:divBdr>
                              <w:divsChild>
                                <w:div w:id="198935573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ribunus@tribunus.h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ribunus.hu"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5259</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Tribunus Jogsegélyszolgálat Közhasznú Egyesület</vt:lpstr>
    </vt:vector>
  </TitlesOfParts>
  <Company>PPKE JÁK</Company>
  <LinksUpToDate>false</LinksUpToDate>
  <CharactersWithSpaces>6009</CharactersWithSpaces>
  <SharedDoc>false</SharedDoc>
  <HLinks>
    <vt:vector size="12" baseType="variant">
      <vt:variant>
        <vt:i4>5898356</vt:i4>
      </vt:variant>
      <vt:variant>
        <vt:i4>9</vt:i4>
      </vt:variant>
      <vt:variant>
        <vt:i4>0</vt:i4>
      </vt:variant>
      <vt:variant>
        <vt:i4>5</vt:i4>
      </vt:variant>
      <vt:variant>
        <vt:lpwstr>mailto:tribunus@tribunus.hu</vt:lpwstr>
      </vt:variant>
      <vt:variant>
        <vt:lpwstr/>
      </vt:variant>
      <vt:variant>
        <vt:i4>7143477</vt:i4>
      </vt:variant>
      <vt:variant>
        <vt:i4>6</vt:i4>
      </vt:variant>
      <vt:variant>
        <vt:i4>0</vt:i4>
      </vt:variant>
      <vt:variant>
        <vt:i4>5</vt:i4>
      </vt:variant>
      <vt:variant>
        <vt:lpwstr>http://www.tribunus.hu/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Tribunus Jogsegélyszolgálat Közhasznú Egyesület</dc:title>
  <dc:subject/>
  <dc:creator>donor</dc:creator>
  <cp:keywords/>
  <dc:description/>
  <cp:lastModifiedBy>Borsy Dávid</cp:lastModifiedBy>
  <cp:revision>2</cp:revision>
  <dcterms:created xsi:type="dcterms:W3CDTF">2020-04-09T12:06:00Z</dcterms:created>
  <dcterms:modified xsi:type="dcterms:W3CDTF">2020-04-09T12:06:00Z</dcterms:modified>
</cp:coreProperties>
</file>